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b/>
          <w:color w:val="145B6E"/>
          <w:sz w:val="32"/>
        </w:rPr>
        <w:t>Municipal professional letter</w:t>
      </w:r>
    </w:p>
    <w:p>
      <w:pPr>
        <w:spacing w:after="220"/>
      </w:pPr>
      <w:r>
        <w:rPr>
          <w:b/>
          <w:color w:val="5F7983"/>
          <w:sz w:val="18"/>
        </w:rPr>
        <w:t>CUSTOMIZABLE LETTER TEMPLATE</w:t>
      </w:r>
    </w:p>
    <w:p>
      <w:pPr>
        <w:spacing w:after="200"/>
      </w:pPr>
      <w:r>
        <w:rPr>
          <w:b/>
        </w:rPr>
        <w:t>Subject: MASSTC research funding and urine-diverting fixture approvals</w:t>
      </w:r>
    </w:p>
    <w:p>
      <w:r>
        <w:t>Dear Members of the Conference Committee and Healey-Driscoll Administration,</w:t>
      </w:r>
    </w:p>
    <w:p>
      <w:r>
        <w:t>I am writing from my perspective as a [position] working in [municipality], where wastewater management, environmental protection, housing needs, and infrastructure costs are increasingly interconnected challenges.</w:t>
      </w:r>
    </w:p>
    <w:p>
      <w:r>
        <w:t>I encourage your consideration of two steps that would help municipalities better evaluate emerging wastewater technologies.</w:t>
      </w:r>
    </w:p>
    <w:p>
      <w:r>
        <w:rPr>
          <w:b/>
        </w:rPr>
        <w:t>First, please retain Representative Hadley Luddy’s provision in H.5576 allocating not less than $500,000 to Barnstable County’s Massachusetts Alternative Septic System Test Center (MASSTC)</w:t>
      </w:r>
      <w:r>
        <w:rPr>
          <w:b w:val="0"/>
        </w:rPr>
        <w:t xml:space="preserve"> to evaluate urine-diverting eco-toilet systems as a means of reducing nutrient pollution on the Lower and Outer Cape.</w:t>
      </w:r>
    </w:p>
    <w:p>
      <w:r>
        <w:t>This research could provide municipalities with valuable independent data on environmental performance, feasibility, and potential costs relative to conventional wastewater approaches.</w:t>
      </w:r>
    </w:p>
    <w:p>
      <w:r>
        <w:rPr>
          <w:b/>
        </w:rPr>
        <w:t>Second, I encourage the Administration to help establish a timely, transparent pathway for the State Plumbing Board to review and approve multiple qualified urine-diverting fixtures</w:t>
      </w:r>
      <w:r>
        <w:rPr>
          <w:b w:val="0"/>
        </w:rPr>
        <w:t xml:space="preserve"> for authorized research and demonstration projects.</w:t>
      </w:r>
    </w:p>
    <w:p>
      <w:r>
        <w:t>MASSTC has reported that MassDEP has issued the permit for the Falmouth Urine Diversion Pilot, yet plumbing fixture approvals remain an obstacle to implementation after more than two years of conversations.</w:t>
      </w:r>
    </w:p>
    <w:p>
      <w:r>
        <w:t>Municipal professionals need reliable information and a sufficiently broad range of evaluated technologies to make sound recommendations. Expanding the research and removing unnecessary regulatory delays, while maintaining appropriate health and safety standards, would help communities assess their wastewater options more fully.</w:t>
      </w:r>
    </w:p>
    <w:p>
      <w:r>
        <w:t>Thank you for your consideration and for supporting informed, cost-effective municipal decision-making.</w:t>
      </w:r>
    </w:p>
    <w:p>
      <w:r>
        <w:t>Sincerely,</w:t>
      </w:r>
    </w:p>
    <w:p>
      <w:pPr>
        <w:spacing w:after="120"/>
      </w:pPr>
      <w:r>
        <w:t>[Name]</w:t>
        <w:br/>
        <w:t>[Professional Title]</w:t>
        <w:br/>
        <w:t>[Municipality or Organization]</w:t>
        <w:br/>
        <w:t>[Contact Information]</w:t>
      </w:r>
    </w:p>
    <w:p>
      <w:pPr>
        <w:spacing w:before="160"/>
      </w:pPr>
      <w:r>
        <w:rPr>
          <w:i/>
          <w:color w:val="5A6970"/>
          <w:sz w:val="18"/>
        </w:rPr>
        <w:t>Written in my individual professional capacity; not an official position of the municipality unless otherwise authorized.</w:t>
      </w:r>
    </w:p>
    <w:sectPr w:rsidR="00FC693F" w:rsidRPr="0006063C" w:rsidSect="00034616">
      <w:pgSz w:w="12240" w:h="15840"/>
      <w:pgMar w:top="821" w:right="1224" w:bottom="821"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rial Nova" w:hAnsi="Arial Nova"/>
      <w:color w:val="2634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